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8BD" w:rsidRPr="00B775B3" w:rsidRDefault="005028BD" w:rsidP="005028BD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Деловая ситуация 22</w:t>
      </w:r>
    </w:p>
    <w:p w:rsidR="005028BD" w:rsidRPr="00B775B3" w:rsidRDefault="005028BD" w:rsidP="005028BD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028BD" w:rsidRPr="00B775B3" w:rsidRDefault="005028BD" w:rsidP="005028BD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«Сотовая связь раздавила пейджинг»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отличие от сотовых компаний ни один московский оператор пейджинговой связи по итогам 1999 г. не смог похвастаться существенным ростом абонентской базы. В то время как в США этим видом связи пользуются около 50 млн. человек, в Европе — 3—5% населе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ния, в России, по данным компании </w:t>
      </w:r>
      <w:proofErr w:type="spellStart"/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Vessolink</w:t>
      </w:r>
      <w:proofErr w:type="spellEnd"/>
      <w:r w:rsidRPr="00B775B3">
        <w:rPr>
          <w:rFonts w:ascii="Times New Roman" w:hAnsi="Times New Roman" w:cs="Times New Roman"/>
          <w:iCs/>
          <w:sz w:val="28"/>
          <w:szCs w:val="28"/>
        </w:rPr>
        <w:t xml:space="preserve">-Единая Пейджинговая, </w:t>
      </w:r>
      <w:r w:rsidRPr="00B775B3">
        <w:rPr>
          <w:rFonts w:ascii="Times New Roman" w:hAnsi="Times New Roman" w:cs="Times New Roman"/>
          <w:sz w:val="28"/>
          <w:szCs w:val="28"/>
        </w:rPr>
        <w:t>число абонентов пейджинговых сетей к концу 1999 г. составило около 300—350 тыс. человек и практически не увеличивается.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После своего появления на рынке пейджер достаточно быстро стал восприниматься большинством российских граждан как дешевая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мена сотового. Теперь, когда «вступительный порог» и в сотовую, и в пейджинговую сети в столицах фактически сравнялся, люди, нужда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ющиеся хоть в каком-то средстве мобильной связи, не раздумывая выбирают телефон, даже несмотря на то, что он дороже в обслужива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нии. Рекламный слоган «Каждому </w:t>
      </w:r>
      <w:proofErr w:type="spellStart"/>
      <w:r w:rsidRPr="00B775B3">
        <w:rPr>
          <w:rFonts w:ascii="Times New Roman" w:hAnsi="Times New Roman" w:cs="Times New Roman"/>
          <w:sz w:val="28"/>
          <w:szCs w:val="28"/>
        </w:rPr>
        <w:t>тинейджеру</w:t>
      </w:r>
      <w:proofErr w:type="spellEnd"/>
      <w:r w:rsidRPr="00B775B3">
        <w:rPr>
          <w:rFonts w:ascii="Times New Roman" w:hAnsi="Times New Roman" w:cs="Times New Roman"/>
          <w:sz w:val="28"/>
          <w:szCs w:val="28"/>
        </w:rPr>
        <w:t xml:space="preserve"> по пейджеру», активно внедряемый в сознание потребителей пару лет назад одним из опера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торов, сработал не только на привлечение самого юного слоя абонен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тов, но и на потерю этим средством связи имиджа у более солидных социальных групп.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Вызвать рост спроса на свои услуги пейджинговые компании смогут, если вложатся в рекламу и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PR</w:t>
      </w:r>
      <w:r w:rsidRPr="00B775B3">
        <w:rPr>
          <w:rFonts w:ascii="Times New Roman" w:hAnsi="Times New Roman" w:cs="Times New Roman"/>
          <w:sz w:val="28"/>
          <w:szCs w:val="28"/>
        </w:rPr>
        <w:t xml:space="preserve"> с целью изменить отноше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к пейджеру: односторонность связи следует преподнести как достоинство и объяснить, что пейджер отнюдь не замена, а до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полнение сотового. Другой спо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соб увеличить спрос — работа с корпоративными клиентами, ко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торые российскими операторами пока охвачены слабо (именно в этом сегменте находится, кста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ти, большая доля абонентов в США).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Впрочем, все это не даст долговременного эффекта без освоения современных технологий. Распространению пейджинга препятствует также недостаточный спектр информационных услуг у многих опера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торов, а расширить его можно, лишь перейдя на новый, более совер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шенный стандарт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FLEX</w:t>
      </w:r>
      <w:r w:rsidRPr="00B775B3">
        <w:rPr>
          <w:rFonts w:ascii="Times New Roman" w:hAnsi="Times New Roman" w:cs="Times New Roman"/>
          <w:sz w:val="28"/>
          <w:szCs w:val="28"/>
        </w:rPr>
        <w:t>, в котором уже работают западные операто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ры (в России его пытается эксплуатировать только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Mobile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Telecom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). </w:t>
      </w:r>
      <w:r w:rsidRPr="00B775B3">
        <w:rPr>
          <w:rFonts w:ascii="Times New Roman" w:hAnsi="Times New Roman" w:cs="Times New Roman"/>
          <w:sz w:val="28"/>
          <w:szCs w:val="28"/>
        </w:rPr>
        <w:t>Но ни на масштабные рекламно-маркетинговые мероприятия, ни на мо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дернизацию, которая потребует в масштабах России инвестиций в десятки миллионов долларов, нашим пейджинговым компаниям при сегодняшнем «низком» рынке рассчитывать не приходится.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>
            <wp:extent cx="3764280" cy="182880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 xml:space="preserve">Рис. 22.1 </w:t>
      </w:r>
      <w:r w:rsidRPr="00B775B3">
        <w:rPr>
          <w:rFonts w:ascii="Times New Roman" w:hAnsi="Times New Roman" w:cs="Times New Roman"/>
          <w:sz w:val="28"/>
          <w:szCs w:val="28"/>
        </w:rPr>
        <w:t>Число абонентов сотовой и пейджинговой связи в России.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Вопросы и задания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1. Определите тип среды, в которой развивается конкуренция между двумя отраслями услуг связи.</w:t>
      </w:r>
    </w:p>
    <w:p w:rsidR="005028BD" w:rsidRPr="00B775B3" w:rsidRDefault="005028BD" w:rsidP="005028BD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К какому типу стратегий можно отнести предложения автора? Возможны ли другие стратегии?</w:t>
      </w:r>
    </w:p>
    <w:p w:rsidR="00FB2F1C" w:rsidRDefault="00FB2F1C"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50E"/>
    <w:rsid w:val="005028BD"/>
    <w:rsid w:val="00A1150E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569354-EBED-49AB-A0A6-9233FEF35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8B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402597402597403"/>
          <c:y val="0.11538461538461539"/>
          <c:w val="0.47532467532467532"/>
          <c:h val="0.68681318681318682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Сотовая связь</c:v>
                </c:pt>
              </c:strCache>
            </c:strRef>
          </c:tx>
          <c:spPr>
            <a:ln w="12700">
              <a:solidFill>
                <a:srgbClr val="000080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</c:numCache>
            </c:numRef>
          </c:cat>
          <c:val>
            <c:numRef>
              <c:f>Sheet1!$B$2:$F$2</c:f>
              <c:numCache>
                <c:formatCode>General</c:formatCode>
                <c:ptCount val="5"/>
                <c:pt idx="0">
                  <c:v>100</c:v>
                </c:pt>
                <c:pt idx="1">
                  <c:v>300</c:v>
                </c:pt>
                <c:pt idx="2">
                  <c:v>500</c:v>
                </c:pt>
                <c:pt idx="3">
                  <c:v>850</c:v>
                </c:pt>
                <c:pt idx="4">
                  <c:v>1300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Пейджинговая связь</c:v>
                </c:pt>
              </c:strCache>
            </c:strRef>
          </c:tx>
          <c:spPr>
            <a:ln w="12700">
              <a:solidFill>
                <a:srgbClr val="FF00FF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1995</c:v>
                </c:pt>
                <c:pt idx="1">
                  <c:v>1996</c:v>
                </c:pt>
                <c:pt idx="2">
                  <c:v>1997</c:v>
                </c:pt>
                <c:pt idx="3">
                  <c:v>1998</c:v>
                </c:pt>
                <c:pt idx="4">
                  <c:v>1999</c:v>
                </c:pt>
              </c:numCache>
            </c:numRef>
          </c:cat>
          <c:val>
            <c:numRef>
              <c:f>Sheet1!$B$3:$F$3</c:f>
              <c:numCache>
                <c:formatCode>General</c:formatCode>
                <c:ptCount val="5"/>
                <c:pt idx="0">
                  <c:v>150</c:v>
                </c:pt>
                <c:pt idx="1">
                  <c:v>300</c:v>
                </c:pt>
                <c:pt idx="2">
                  <c:v>400</c:v>
                </c:pt>
                <c:pt idx="3">
                  <c:v>450</c:v>
                </c:pt>
                <c:pt idx="4">
                  <c:v>500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50027800"/>
        <c:axId val="405971032"/>
      </c:lineChart>
      <c:catAx>
        <c:axId val="1500278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40597103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0597103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8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тыс. чел.</a:t>
                </a:r>
              </a:p>
            </c:rich>
          </c:tx>
          <c:layout>
            <c:manualLayout>
              <c:xMode val="edge"/>
              <c:yMode val="edge"/>
              <c:x val="2.8571428571428571E-2"/>
              <c:y val="0.30769230769230771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5002780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67532467532467533"/>
          <c:y val="0.26923076923076922"/>
          <c:w val="0.31428571428571428"/>
          <c:h val="0.36813186813186816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2015-10-07T05:17:00Z</dcterms:created>
  <dcterms:modified xsi:type="dcterms:W3CDTF">2015-10-07T05:17:00Z</dcterms:modified>
</cp:coreProperties>
</file>